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7441CA98" w14:textId="55E0C760" w:rsidR="005D5F7B" w:rsidRDefault="001C75EA" w:rsidP="00872ED7">
      <w:pPr>
        <w:ind w:left="142"/>
        <w:rPr>
          <w:rFonts w:ascii="Helvetica Neue" w:hAnsi="Helvetica Neue"/>
          <w:b/>
          <w:bCs/>
          <w:color w:val="003172"/>
          <w:lang w:val="en-GB"/>
        </w:rPr>
      </w:pPr>
      <w:r>
        <w:rPr>
          <w:rFonts w:ascii="Helvetica Neue" w:hAnsi="Helvetica Neue"/>
          <w:b/>
          <w:bCs/>
          <w:color w:val="003172"/>
          <w:lang w:val="en-GB"/>
        </w:rPr>
        <w:t>NAVIGATING THE AFFORDABILITY OF SOUTH AFRICAN HEALTHCARE</w:t>
      </w:r>
    </w:p>
    <w:p w14:paraId="4EC4F069" w14:textId="7F054928" w:rsidR="00872ED7" w:rsidRPr="00872ED7" w:rsidRDefault="005D5F7B" w:rsidP="00872ED7">
      <w:pPr>
        <w:ind w:left="142"/>
        <w:rPr>
          <w:rFonts w:ascii="Helvetica Neue" w:hAnsi="Helvetica Neue"/>
          <w:b/>
          <w:bCs/>
          <w:color w:val="003172"/>
          <w:lang w:val="en-GB"/>
        </w:rPr>
      </w:pPr>
      <w:r>
        <w:rPr>
          <w:rFonts w:ascii="Helvetica Neue" w:hAnsi="Helvetica Neue"/>
          <w:b/>
          <w:bCs/>
          <w:color w:val="003172"/>
          <w:lang w:val="en-GB"/>
        </w:rPr>
        <w:t xml:space="preserve">Unveiling the impact of health inflation versus consumer inflation </w:t>
      </w:r>
    </w:p>
    <w:p w14:paraId="4A876DEE" w14:textId="47F583C9" w:rsidR="00FC0CDA" w:rsidRPr="00FC0CDA" w:rsidRDefault="004C5ED6" w:rsidP="00621D8F">
      <w:pPr>
        <w:ind w:left="142"/>
        <w:rPr>
          <w:rFonts w:ascii="Helvetica Neue" w:hAnsi="Helvetica Neue"/>
          <w:color w:val="003172"/>
          <w:lang w:val="en-GB"/>
        </w:rPr>
      </w:pPr>
      <w:r w:rsidRPr="004C5ED6">
        <w:rPr>
          <w:rFonts w:ascii="Helvetica Neue" w:hAnsi="Helvetica Neue"/>
          <w:bCs/>
          <w:color w:val="003172"/>
        </w:rPr>
        <w:t xml:space="preserve">Kevin Aron, Principal Officer </w:t>
      </w:r>
      <w:r w:rsidR="00872ED7">
        <w:rPr>
          <w:rFonts w:ascii="Helvetica Neue" w:hAnsi="Helvetica Neue"/>
          <w:bCs/>
          <w:color w:val="003172"/>
        </w:rPr>
        <w:t>at</w:t>
      </w:r>
      <w:r w:rsidRPr="004C5ED6">
        <w:rPr>
          <w:rFonts w:ascii="Helvetica Neue" w:hAnsi="Helvetica Neue"/>
          <w:bCs/>
          <w:color w:val="003172"/>
        </w:rPr>
        <w:t xml:space="preserve"> Medshield Medical Scheme</w:t>
      </w:r>
    </w:p>
    <w:p w14:paraId="1E3FC1FE" w14:textId="77777777" w:rsidR="00FC0CDA" w:rsidRPr="00FC0CDA" w:rsidRDefault="00FC0CDA" w:rsidP="00621D8F">
      <w:pPr>
        <w:ind w:left="142"/>
        <w:rPr>
          <w:rFonts w:ascii="Helvetica Neue" w:hAnsi="Helvetica Neue"/>
          <w:b/>
          <w:bCs/>
          <w:color w:val="003172"/>
          <w:lang w:val="en-GB"/>
        </w:rPr>
      </w:pPr>
    </w:p>
    <w:p w14:paraId="14714CD8" w14:textId="77777777" w:rsidR="005D5F7B" w:rsidRDefault="00FC6146" w:rsidP="00F04BFC">
      <w:pPr>
        <w:ind w:left="142"/>
        <w:rPr>
          <w:rFonts w:ascii="Helvetica Neue" w:hAnsi="Helvetica Neue"/>
          <w:b/>
          <w:bCs/>
          <w:sz w:val="21"/>
          <w:szCs w:val="21"/>
        </w:rPr>
      </w:pPr>
      <w:r w:rsidRPr="00D7156B">
        <w:rPr>
          <w:rFonts w:ascii="Helvetica Neue" w:hAnsi="Helvetica Neue"/>
          <w:b/>
          <w:bCs/>
          <w:sz w:val="21"/>
          <w:szCs w:val="21"/>
          <w:lang w:val="en-GB"/>
        </w:rPr>
        <w:t>JOHANNESBURG</w:t>
      </w:r>
      <w:r w:rsidR="00617E6F">
        <w:rPr>
          <w:rFonts w:ascii="Helvetica Neue" w:hAnsi="Helvetica Neue"/>
          <w:b/>
          <w:bCs/>
          <w:sz w:val="21"/>
          <w:szCs w:val="21"/>
          <w:lang w:val="en-GB"/>
        </w:rPr>
        <w:t xml:space="preserve"> </w:t>
      </w:r>
      <w:r w:rsidRPr="00D7156B">
        <w:rPr>
          <w:rFonts w:ascii="Helvetica Neue" w:hAnsi="Helvetica Neue"/>
          <w:b/>
          <w:bCs/>
          <w:sz w:val="21"/>
          <w:szCs w:val="21"/>
          <w:lang w:val="en-GB"/>
        </w:rPr>
        <w:t xml:space="preserve">- </w:t>
      </w:r>
      <w:r w:rsidR="005D5F7B" w:rsidRPr="005D5F7B">
        <w:rPr>
          <w:rFonts w:ascii="Helvetica Neue" w:hAnsi="Helvetica Neue"/>
          <w:b/>
          <w:bCs/>
          <w:sz w:val="21"/>
          <w:szCs w:val="21"/>
        </w:rPr>
        <w:t xml:space="preserve">South Africa's healthcare system has long been discussed, particularly regarding affordability. The rising healthcare costs have become a significant concern for individuals and families who find it an ever-increasing challenge to afford quality healthcare. </w:t>
      </w:r>
    </w:p>
    <w:p w14:paraId="7EC151ED" w14:textId="77777777" w:rsidR="00F04BFC" w:rsidRPr="005D5F7B" w:rsidRDefault="00F04BFC" w:rsidP="00F04BFC">
      <w:pPr>
        <w:ind w:left="142"/>
        <w:rPr>
          <w:rFonts w:ascii="Helvetica Neue" w:hAnsi="Helvetica Neue"/>
          <w:b/>
          <w:bCs/>
          <w:sz w:val="21"/>
          <w:szCs w:val="21"/>
        </w:rPr>
      </w:pPr>
    </w:p>
    <w:p w14:paraId="7AED8CC9" w14:textId="3F362FC9" w:rsidR="005D5F7B" w:rsidRDefault="005D5F7B" w:rsidP="00F04BFC">
      <w:pPr>
        <w:ind w:left="142"/>
        <w:rPr>
          <w:rFonts w:ascii="Helvetica Neue" w:hAnsi="Helvetica Neue"/>
          <w:bCs/>
          <w:sz w:val="21"/>
          <w:szCs w:val="21"/>
          <w:lang w:val="en-GB"/>
        </w:rPr>
      </w:pPr>
      <w:r w:rsidRPr="005D5F7B">
        <w:rPr>
          <w:rFonts w:ascii="Helvetica Neue" w:hAnsi="Helvetica Neue"/>
          <w:bCs/>
          <w:sz w:val="21"/>
          <w:szCs w:val="21"/>
          <w:lang w:val="en-GB"/>
        </w:rPr>
        <w:t xml:space="preserve">Knowing health and consumer inflation dynamics is crucial to understanding healthcare affordability. Health inflation refers to the rate at which medical costs increase over time, while consumer inflation measures changes in general prices across various goods and services. These two types of inflation impact individuals' purchasing power differently. </w:t>
      </w:r>
    </w:p>
    <w:p w14:paraId="59930F00" w14:textId="77777777" w:rsidR="00F04BFC" w:rsidRPr="005D5F7B" w:rsidRDefault="00F04BFC" w:rsidP="00F04BFC">
      <w:pPr>
        <w:ind w:left="142"/>
        <w:rPr>
          <w:rFonts w:ascii="Helvetica Neue" w:hAnsi="Helvetica Neue"/>
          <w:bCs/>
          <w:sz w:val="21"/>
          <w:szCs w:val="21"/>
          <w:lang w:val="en-GB"/>
        </w:rPr>
      </w:pPr>
    </w:p>
    <w:p w14:paraId="37A05DD2" w14:textId="1CD3F9E1" w:rsidR="005D5F7B" w:rsidRDefault="005D5F7B" w:rsidP="00F04BFC">
      <w:pPr>
        <w:ind w:left="142"/>
        <w:rPr>
          <w:rFonts w:ascii="Helvetica Neue" w:hAnsi="Helvetica Neue"/>
          <w:bCs/>
          <w:sz w:val="21"/>
          <w:szCs w:val="21"/>
          <w:lang w:val="en-GB"/>
        </w:rPr>
      </w:pPr>
      <w:r w:rsidRPr="005D5F7B">
        <w:rPr>
          <w:rFonts w:ascii="Helvetica Neue" w:hAnsi="Helvetica Neue"/>
          <w:bCs/>
          <w:sz w:val="21"/>
          <w:szCs w:val="21"/>
          <w:lang w:val="en-GB"/>
        </w:rPr>
        <w:t>The disparity between consumer inflation (currently at 5.6%) and the much higher healthcare inflation is a cause for concern. While general living expenses may see moderate increases or remain stable over time (as reflected by consumer inflation), healthcare costs continue their relentless ascent at an alarming rate (as indicated by healthcare inflation), compelling individuals to allocate more of their income towards medical expenses.</w:t>
      </w:r>
    </w:p>
    <w:p w14:paraId="6E66C7F9" w14:textId="77777777" w:rsidR="00F04BFC" w:rsidRPr="005D5F7B" w:rsidRDefault="00F04BFC" w:rsidP="00F04BFC">
      <w:pPr>
        <w:ind w:left="142"/>
        <w:rPr>
          <w:rFonts w:ascii="Helvetica Neue" w:hAnsi="Helvetica Neue"/>
          <w:bCs/>
          <w:sz w:val="21"/>
          <w:szCs w:val="21"/>
          <w:lang w:val="en-GB"/>
        </w:rPr>
      </w:pPr>
    </w:p>
    <w:p w14:paraId="7F9998CF" w14:textId="0B25E7A3" w:rsidR="005D5F7B" w:rsidRDefault="005D5F7B" w:rsidP="00F04BFC">
      <w:pPr>
        <w:ind w:left="142"/>
        <w:rPr>
          <w:rFonts w:ascii="Helvetica Neue" w:hAnsi="Helvetica Neue"/>
          <w:bCs/>
          <w:sz w:val="21"/>
          <w:szCs w:val="21"/>
          <w:lang w:val="en-GB"/>
        </w:rPr>
      </w:pPr>
      <w:r w:rsidRPr="005D5F7B">
        <w:rPr>
          <w:rFonts w:ascii="Helvetica Neue" w:hAnsi="Helvetica Neue"/>
          <w:bCs/>
          <w:sz w:val="21"/>
          <w:szCs w:val="21"/>
          <w:lang w:val="en-GB"/>
        </w:rPr>
        <w:t>Healthcare costs in South Africa consistently exceed general consumer inflation rates, and several factors contribute to this trend. Firstly, input costs into healthcare and medical technology advancements resulted in increased expenses. Additionally, rising drug prices and the higher demand for medical services all contributed to increasing costs associated with diagnosis and treatment options.</w:t>
      </w:r>
    </w:p>
    <w:p w14:paraId="7BDC404B" w14:textId="77777777" w:rsidR="00F04BFC" w:rsidRPr="005D5F7B" w:rsidRDefault="00F04BFC" w:rsidP="00F04BFC">
      <w:pPr>
        <w:ind w:left="142"/>
        <w:rPr>
          <w:rFonts w:ascii="Helvetica Neue" w:hAnsi="Helvetica Neue"/>
          <w:bCs/>
          <w:sz w:val="21"/>
          <w:szCs w:val="21"/>
          <w:lang w:val="en-GB"/>
        </w:rPr>
      </w:pPr>
    </w:p>
    <w:p w14:paraId="4288310A" w14:textId="77777777" w:rsidR="005D5F7B" w:rsidRPr="005D5F7B" w:rsidRDefault="005D5F7B" w:rsidP="00F04BFC">
      <w:pPr>
        <w:ind w:left="142"/>
        <w:rPr>
          <w:rFonts w:ascii="Helvetica Neue" w:hAnsi="Helvetica Neue"/>
          <w:bCs/>
          <w:sz w:val="21"/>
          <w:szCs w:val="21"/>
          <w:lang w:val="en-GB"/>
        </w:rPr>
      </w:pPr>
      <w:r w:rsidRPr="005D5F7B">
        <w:rPr>
          <w:rFonts w:ascii="Helvetica Neue" w:hAnsi="Helvetica Neue"/>
          <w:bCs/>
          <w:sz w:val="21"/>
          <w:szCs w:val="21"/>
          <w:lang w:val="en-GB"/>
        </w:rPr>
        <w:t>Healthcare providers grapple with additional challenges, including maintaining highly skilled employees and complying with stringent regulatory requirements that increase input costs. Pharmaceutical prices continue to rise due to global market dynamics and patent protection laws. Furthermore, an ageing population places additional demands on healthcare services while also increasing overall expenditure for chronic conditions such as diabetes or cardiovascular diseases. As a result, these increasing expenses are passed on to patients through higher fees for consultations, procedures, medications, and hospital stays.</w:t>
      </w:r>
    </w:p>
    <w:p w14:paraId="7DCE1F6D" w14:textId="77777777" w:rsidR="005D5F7B" w:rsidRPr="005D5F7B" w:rsidRDefault="005D5F7B" w:rsidP="00F04BFC">
      <w:pPr>
        <w:ind w:left="142"/>
        <w:rPr>
          <w:rFonts w:ascii="Helvetica Neue" w:hAnsi="Helvetica Neue"/>
          <w:bCs/>
          <w:sz w:val="21"/>
          <w:szCs w:val="21"/>
          <w:lang w:val="en-GB"/>
        </w:rPr>
      </w:pPr>
    </w:p>
    <w:p w14:paraId="62843527" w14:textId="483402D9" w:rsidR="005D5F7B" w:rsidRPr="00F04BFC" w:rsidRDefault="005D5F7B" w:rsidP="00F04BFC">
      <w:pPr>
        <w:ind w:left="142"/>
        <w:rPr>
          <w:rFonts w:ascii="Helvetica Neue" w:hAnsi="Helvetica Neue"/>
          <w:b/>
          <w:sz w:val="21"/>
          <w:szCs w:val="21"/>
          <w:lang w:val="en-GB"/>
        </w:rPr>
      </w:pPr>
      <w:r w:rsidRPr="00F04BFC">
        <w:rPr>
          <w:rFonts w:ascii="Helvetica Neue" w:hAnsi="Helvetica Neue"/>
          <w:b/>
          <w:sz w:val="21"/>
          <w:szCs w:val="21"/>
          <w:lang w:val="en-GB"/>
        </w:rPr>
        <w:t>A struggle for middle and low-income households</w:t>
      </w:r>
    </w:p>
    <w:p w14:paraId="3BAD51CC" w14:textId="0E5E263D" w:rsidR="005D5F7B" w:rsidRDefault="005D5F7B" w:rsidP="00F04BFC">
      <w:pPr>
        <w:ind w:left="142"/>
        <w:rPr>
          <w:rFonts w:ascii="Helvetica Neue" w:hAnsi="Helvetica Neue"/>
          <w:bCs/>
          <w:sz w:val="21"/>
          <w:szCs w:val="21"/>
          <w:lang w:val="en-GB"/>
        </w:rPr>
      </w:pPr>
      <w:r w:rsidRPr="005D5F7B">
        <w:rPr>
          <w:rFonts w:ascii="Helvetica Neue" w:hAnsi="Helvetica Neue"/>
          <w:bCs/>
          <w:sz w:val="21"/>
          <w:szCs w:val="21"/>
          <w:lang w:val="en-GB"/>
        </w:rPr>
        <w:lastRenderedPageBreak/>
        <w:t>The impact of high health inflation is felt most acutely by low-income households dealing with escalating medical bills while struggling to meet basic needs. For many South Africans living below the poverty line, healthcare becomes a luxury they cannot afford, exacerbating existing inequalities in access to quality healthcare services.</w:t>
      </w:r>
    </w:p>
    <w:p w14:paraId="28B524AE" w14:textId="77777777" w:rsidR="00F04BFC" w:rsidRPr="005D5F7B" w:rsidRDefault="00F04BFC" w:rsidP="00F04BFC">
      <w:pPr>
        <w:ind w:left="142"/>
        <w:rPr>
          <w:rFonts w:ascii="Helvetica Neue" w:hAnsi="Helvetica Neue"/>
          <w:bCs/>
          <w:sz w:val="21"/>
          <w:szCs w:val="21"/>
          <w:lang w:val="en-GB"/>
        </w:rPr>
      </w:pPr>
    </w:p>
    <w:p w14:paraId="2B758B8B" w14:textId="42B1DFDE" w:rsidR="005D5F7B" w:rsidRDefault="005D5F7B" w:rsidP="00F04BFC">
      <w:pPr>
        <w:ind w:left="142"/>
        <w:rPr>
          <w:rFonts w:ascii="Helvetica Neue" w:hAnsi="Helvetica Neue"/>
          <w:bCs/>
          <w:sz w:val="21"/>
          <w:szCs w:val="21"/>
          <w:lang w:val="en-GB"/>
        </w:rPr>
      </w:pPr>
      <w:r w:rsidRPr="005D5F7B">
        <w:rPr>
          <w:rFonts w:ascii="Helvetica Neue" w:hAnsi="Helvetica Neue"/>
          <w:bCs/>
          <w:sz w:val="21"/>
          <w:szCs w:val="21"/>
          <w:lang w:val="en-GB"/>
        </w:rPr>
        <w:t>However, the middle class is not immune to these challenges. As health inflation outpaces salary increases and general consumer inflation, individuals and families confront difficult choices between prioritising their health or managing essential expenses such as education, housing, and food.</w:t>
      </w:r>
    </w:p>
    <w:p w14:paraId="496B2CB8" w14:textId="77777777" w:rsidR="00F04BFC" w:rsidRPr="005D5F7B" w:rsidRDefault="00F04BFC" w:rsidP="00F04BFC">
      <w:pPr>
        <w:ind w:left="142"/>
        <w:rPr>
          <w:rFonts w:ascii="Helvetica Neue" w:hAnsi="Helvetica Neue"/>
          <w:bCs/>
          <w:sz w:val="21"/>
          <w:szCs w:val="21"/>
          <w:lang w:val="en-GB"/>
        </w:rPr>
      </w:pPr>
    </w:p>
    <w:p w14:paraId="121BC488" w14:textId="49D31AA4" w:rsidR="005D5F7B" w:rsidRDefault="005D5F7B" w:rsidP="00F04BFC">
      <w:pPr>
        <w:ind w:left="142"/>
        <w:rPr>
          <w:rFonts w:ascii="Helvetica Neue" w:hAnsi="Helvetica Neue"/>
          <w:bCs/>
          <w:sz w:val="21"/>
          <w:szCs w:val="21"/>
          <w:lang w:val="en-GB"/>
        </w:rPr>
      </w:pPr>
      <w:r w:rsidRPr="005D5F7B">
        <w:rPr>
          <w:rFonts w:ascii="Helvetica Neue" w:hAnsi="Helvetica Neue"/>
          <w:bCs/>
          <w:sz w:val="21"/>
          <w:szCs w:val="21"/>
          <w:lang w:val="en-GB"/>
        </w:rPr>
        <w:t>Private healthcare is often perceived as more expensive than public alternatives, offering benefits such as shorter waiting times and access to specialised care. However, these advantages come at a cost that many individuals struggle with. The high cost of private healthcare can be attributed partly to health inflation but also reflects the higher tariffs of doctors and specialists working within this sector compared to their public counterparts. Prescribed Minimum Benefits and in particular Regulation 8 which allows healthcare practitioners to charge any amount they want if the treatment or service is a PMB has also played a material role in the increase in healthcare costs.</w:t>
      </w:r>
    </w:p>
    <w:p w14:paraId="115A74EE" w14:textId="77777777" w:rsidR="00F04BFC" w:rsidRPr="005D5F7B" w:rsidRDefault="00F04BFC" w:rsidP="00F04BFC">
      <w:pPr>
        <w:ind w:left="142"/>
        <w:rPr>
          <w:rFonts w:ascii="Helvetica Neue" w:hAnsi="Helvetica Neue"/>
          <w:bCs/>
          <w:sz w:val="21"/>
          <w:szCs w:val="21"/>
          <w:lang w:val="en-GB"/>
        </w:rPr>
      </w:pPr>
    </w:p>
    <w:p w14:paraId="55243B52" w14:textId="20B1388C" w:rsidR="005D5F7B" w:rsidRDefault="005D5F7B" w:rsidP="00F04BFC">
      <w:pPr>
        <w:ind w:left="142"/>
        <w:rPr>
          <w:rFonts w:ascii="Helvetica Neue" w:hAnsi="Helvetica Neue"/>
          <w:bCs/>
          <w:sz w:val="21"/>
          <w:szCs w:val="21"/>
          <w:lang w:val="en-GB"/>
        </w:rPr>
      </w:pPr>
      <w:r w:rsidRPr="005D5F7B">
        <w:rPr>
          <w:rFonts w:ascii="Helvetica Neue" w:hAnsi="Helvetica Neue"/>
          <w:bCs/>
          <w:sz w:val="21"/>
          <w:szCs w:val="21"/>
          <w:lang w:val="en-GB"/>
        </w:rPr>
        <w:t>Medical schemes are crucial in making private healthcare more affordable for individuals. These schemes pool members' contributions to cover medical expenses and negotiate rates with healthcare providers. By leveraging their collective bargaining power, medical schemes can negotiate lower fees for services and medication, mitigating health inflation's impact on individual members' budgets. However, it is essential to note that medical scheme contributions have also been subject to significant increases over the years due to rising healthcare costs, posing a challenge for consumers and medical scheme providers in balancing affordability with adequate coverage.</w:t>
      </w:r>
    </w:p>
    <w:p w14:paraId="1F6FEC62" w14:textId="77777777" w:rsidR="00F04BFC" w:rsidRPr="005D5F7B" w:rsidRDefault="00F04BFC" w:rsidP="00F04BFC">
      <w:pPr>
        <w:ind w:left="142"/>
        <w:rPr>
          <w:rFonts w:ascii="Helvetica Neue" w:hAnsi="Helvetica Neue"/>
          <w:bCs/>
          <w:sz w:val="21"/>
          <w:szCs w:val="21"/>
          <w:lang w:val="en-GB"/>
        </w:rPr>
      </w:pPr>
    </w:p>
    <w:p w14:paraId="4E85249F" w14:textId="79E69C0B" w:rsidR="005D5F7B" w:rsidRPr="00F04BFC" w:rsidRDefault="005D5F7B" w:rsidP="00F04BFC">
      <w:pPr>
        <w:ind w:left="142"/>
        <w:rPr>
          <w:rFonts w:ascii="Helvetica Neue" w:hAnsi="Helvetica Neue"/>
          <w:b/>
          <w:sz w:val="21"/>
          <w:szCs w:val="21"/>
          <w:lang w:val="en-GB"/>
        </w:rPr>
      </w:pPr>
      <w:r w:rsidRPr="00F04BFC">
        <w:rPr>
          <w:rFonts w:ascii="Helvetica Neue" w:hAnsi="Helvetica Neue"/>
          <w:b/>
          <w:sz w:val="21"/>
          <w:szCs w:val="21"/>
          <w:lang w:val="en-GB"/>
        </w:rPr>
        <w:t>Addressing affordability challenges</w:t>
      </w:r>
    </w:p>
    <w:p w14:paraId="6D90FD3B" w14:textId="77777777" w:rsidR="00F04BFC" w:rsidRPr="005D5F7B" w:rsidRDefault="00F04BFC" w:rsidP="00F04BFC">
      <w:pPr>
        <w:ind w:left="142"/>
        <w:rPr>
          <w:rFonts w:ascii="Helvetica Neue" w:hAnsi="Helvetica Neue"/>
          <w:bCs/>
          <w:sz w:val="21"/>
          <w:szCs w:val="21"/>
          <w:lang w:val="en-GB"/>
        </w:rPr>
      </w:pPr>
    </w:p>
    <w:p w14:paraId="39C5E5A6" w14:textId="190662BD" w:rsidR="005D5F7B" w:rsidRDefault="005D5F7B" w:rsidP="00F04BFC">
      <w:pPr>
        <w:ind w:left="142"/>
        <w:rPr>
          <w:rFonts w:ascii="Helvetica Neue" w:hAnsi="Helvetica Neue"/>
          <w:bCs/>
          <w:sz w:val="21"/>
          <w:szCs w:val="21"/>
          <w:lang w:val="en-GB"/>
        </w:rPr>
      </w:pPr>
      <w:r w:rsidRPr="005D5F7B">
        <w:rPr>
          <w:rFonts w:ascii="Helvetica Neue" w:hAnsi="Helvetica Neue"/>
          <w:bCs/>
          <w:sz w:val="21"/>
          <w:szCs w:val="21"/>
          <w:lang w:val="en-GB"/>
        </w:rPr>
        <w:t>Various stakeholders need to collaborate and implement effective strategies to address the affordability challenges in South African healthcare. Here are some potential solutions:</w:t>
      </w:r>
    </w:p>
    <w:p w14:paraId="0205FCC4" w14:textId="77777777" w:rsidR="00F04BFC" w:rsidRPr="005D5F7B" w:rsidRDefault="00F04BFC" w:rsidP="00F04BFC">
      <w:pPr>
        <w:ind w:left="142"/>
        <w:rPr>
          <w:rFonts w:ascii="Helvetica Neue" w:hAnsi="Helvetica Neue"/>
          <w:bCs/>
          <w:sz w:val="21"/>
          <w:szCs w:val="21"/>
          <w:lang w:val="en-GB"/>
        </w:rPr>
      </w:pPr>
    </w:p>
    <w:p w14:paraId="7807E84B" w14:textId="0AA9B6EB" w:rsidR="005D5F7B" w:rsidRPr="005D5F7B" w:rsidRDefault="005D5F7B" w:rsidP="00F04BFC">
      <w:pPr>
        <w:pStyle w:val="ListParagraph"/>
        <w:numPr>
          <w:ilvl w:val="0"/>
          <w:numId w:val="33"/>
        </w:numPr>
        <w:rPr>
          <w:rFonts w:ascii="Helvetica Neue" w:hAnsi="Helvetica Neue"/>
          <w:bCs/>
          <w:sz w:val="21"/>
          <w:szCs w:val="21"/>
          <w:lang w:val="en-GB"/>
        </w:rPr>
      </w:pPr>
      <w:r w:rsidRPr="005D5F7B">
        <w:rPr>
          <w:rFonts w:ascii="Helvetica Neue" w:hAnsi="Helvetica Neue"/>
          <w:bCs/>
          <w:sz w:val="21"/>
          <w:szCs w:val="21"/>
          <w:lang w:val="en-GB"/>
        </w:rPr>
        <w:t>Increased government investment in healthcare: Allocating more resources towards public healthcare infrastructure and services, including funding hospitals, clinics, medical personnel training programmes, and subsidising essential medications.</w:t>
      </w:r>
    </w:p>
    <w:p w14:paraId="62678107" w14:textId="14677C26" w:rsidR="005D5F7B" w:rsidRPr="005D5F7B" w:rsidRDefault="005D5F7B" w:rsidP="00F04BFC">
      <w:pPr>
        <w:pStyle w:val="ListParagraph"/>
        <w:numPr>
          <w:ilvl w:val="0"/>
          <w:numId w:val="33"/>
        </w:numPr>
        <w:rPr>
          <w:rFonts w:ascii="Helvetica Neue" w:hAnsi="Helvetica Neue"/>
          <w:bCs/>
          <w:sz w:val="21"/>
          <w:szCs w:val="21"/>
          <w:lang w:val="en-GB"/>
        </w:rPr>
      </w:pPr>
      <w:r w:rsidRPr="005D5F7B">
        <w:rPr>
          <w:rFonts w:ascii="Helvetica Neue" w:hAnsi="Helvetica Neue"/>
          <w:bCs/>
          <w:sz w:val="21"/>
          <w:szCs w:val="21"/>
          <w:lang w:val="en-GB"/>
        </w:rPr>
        <w:t>Price regulation: Implementing stricter regulations on drug prices can help control excessive costs within the pharmaceutical industry. Negotiating fair pricing agreements with pharmaceutical companies can ensure that life-saving medication remains accessible to all citizens.</w:t>
      </w:r>
    </w:p>
    <w:p w14:paraId="37CDC615" w14:textId="04841838" w:rsidR="005D5F7B" w:rsidRPr="005D5F7B" w:rsidRDefault="005D5F7B" w:rsidP="00F04BFC">
      <w:pPr>
        <w:pStyle w:val="ListParagraph"/>
        <w:numPr>
          <w:ilvl w:val="0"/>
          <w:numId w:val="33"/>
        </w:numPr>
        <w:rPr>
          <w:rFonts w:ascii="Helvetica Neue" w:hAnsi="Helvetica Neue"/>
          <w:bCs/>
          <w:sz w:val="21"/>
          <w:szCs w:val="21"/>
          <w:lang w:val="en-GB"/>
        </w:rPr>
      </w:pPr>
      <w:r w:rsidRPr="005D5F7B">
        <w:rPr>
          <w:rFonts w:ascii="Helvetica Neue" w:hAnsi="Helvetica Neue"/>
          <w:bCs/>
          <w:sz w:val="21"/>
          <w:szCs w:val="21"/>
          <w:lang w:val="en-GB"/>
        </w:rPr>
        <w:t>Promoting preventive care: Shifting focus towards preventive care rather than reactive treatment can help reduce long-term healthcare costs for individuals and society. Encouraging regular check-ups, healthy lifestyle choices, and early intervention programmes can lead to better health outcomes while minimising financial burdens.</w:t>
      </w:r>
    </w:p>
    <w:p w14:paraId="6C34D39E" w14:textId="1A511AB6" w:rsidR="005D5F7B" w:rsidRPr="005D5F7B" w:rsidRDefault="005D5F7B" w:rsidP="00F04BFC">
      <w:pPr>
        <w:pStyle w:val="ListParagraph"/>
        <w:numPr>
          <w:ilvl w:val="0"/>
          <w:numId w:val="33"/>
        </w:numPr>
        <w:rPr>
          <w:rFonts w:ascii="Helvetica Neue" w:hAnsi="Helvetica Neue"/>
          <w:bCs/>
          <w:sz w:val="21"/>
          <w:szCs w:val="21"/>
          <w:lang w:val="en-GB"/>
        </w:rPr>
      </w:pPr>
      <w:r w:rsidRPr="005D5F7B">
        <w:rPr>
          <w:rFonts w:ascii="Helvetica Neue" w:hAnsi="Helvetica Neue"/>
          <w:bCs/>
          <w:sz w:val="21"/>
          <w:szCs w:val="21"/>
          <w:lang w:val="en-GB"/>
        </w:rPr>
        <w:t>Public-Private Partnerships (PPPs): Collaborations between public and private sectors can improve access to affordable healthcare options by effectively leveraging resources from both domains. This can be further enhanced by exploring innovative insurance models catering to low-income households and providing much-needed financial protection against high medical expenses.</w:t>
      </w:r>
    </w:p>
    <w:p w14:paraId="41A732E2" w14:textId="76BA78E3" w:rsidR="005D5F7B" w:rsidRPr="005D5F7B" w:rsidRDefault="005D5F7B" w:rsidP="00F04BFC">
      <w:pPr>
        <w:pStyle w:val="ListParagraph"/>
        <w:numPr>
          <w:ilvl w:val="0"/>
          <w:numId w:val="33"/>
        </w:numPr>
        <w:rPr>
          <w:rFonts w:ascii="Helvetica Neue" w:hAnsi="Helvetica Neue"/>
          <w:bCs/>
          <w:sz w:val="21"/>
          <w:szCs w:val="21"/>
          <w:lang w:val="en-GB"/>
        </w:rPr>
      </w:pPr>
      <w:r w:rsidRPr="005D5F7B">
        <w:rPr>
          <w:rFonts w:ascii="Helvetica Neue" w:hAnsi="Helvetica Neue"/>
          <w:bCs/>
          <w:sz w:val="21"/>
          <w:szCs w:val="21"/>
          <w:lang w:val="en-GB"/>
        </w:rPr>
        <w:t>Enhanced competition rather than restricting market entry: Encouraging competition among private healthcare providers can drive down prices while maintaining quality standards.</w:t>
      </w:r>
    </w:p>
    <w:p w14:paraId="6D99A140" w14:textId="1685A901" w:rsidR="005D5F7B" w:rsidRDefault="005D5F7B" w:rsidP="00F04BFC">
      <w:pPr>
        <w:pStyle w:val="ListParagraph"/>
        <w:numPr>
          <w:ilvl w:val="0"/>
          <w:numId w:val="33"/>
        </w:numPr>
        <w:rPr>
          <w:rFonts w:ascii="Helvetica Neue" w:hAnsi="Helvetica Neue"/>
          <w:bCs/>
          <w:sz w:val="21"/>
          <w:szCs w:val="21"/>
          <w:lang w:val="en-GB"/>
        </w:rPr>
      </w:pPr>
      <w:r w:rsidRPr="005D5F7B">
        <w:rPr>
          <w:rFonts w:ascii="Helvetica Neue" w:hAnsi="Helvetica Neue"/>
          <w:bCs/>
          <w:sz w:val="21"/>
          <w:szCs w:val="21"/>
          <w:lang w:val="en-GB"/>
        </w:rPr>
        <w:t>Transparent pricing and sharing of healthcare information: Ensuring pricing transparency across all healthcare industry sectors will empower consumers to make informed decisions about their care options.</w:t>
      </w:r>
    </w:p>
    <w:p w14:paraId="3CBAD7D1" w14:textId="77777777" w:rsidR="00F04BFC" w:rsidRPr="005D5F7B" w:rsidRDefault="00F04BFC" w:rsidP="00F04BFC">
      <w:pPr>
        <w:pStyle w:val="ListParagraph"/>
        <w:ind w:left="722"/>
        <w:rPr>
          <w:rFonts w:ascii="Helvetica Neue" w:hAnsi="Helvetica Neue"/>
          <w:bCs/>
          <w:sz w:val="21"/>
          <w:szCs w:val="21"/>
          <w:lang w:val="en-GB"/>
        </w:rPr>
      </w:pPr>
    </w:p>
    <w:p w14:paraId="39CC1294" w14:textId="77777777" w:rsidR="005D5F7B" w:rsidRDefault="005D5F7B" w:rsidP="00F04BFC">
      <w:pPr>
        <w:ind w:left="142"/>
        <w:rPr>
          <w:rFonts w:ascii="Helvetica Neue" w:hAnsi="Helvetica Neue"/>
          <w:bCs/>
          <w:sz w:val="21"/>
          <w:szCs w:val="21"/>
          <w:lang w:val="en-GB"/>
        </w:rPr>
      </w:pPr>
      <w:r w:rsidRPr="005D5F7B">
        <w:rPr>
          <w:rFonts w:ascii="Helvetica Neue" w:hAnsi="Helvetica Neue"/>
          <w:bCs/>
          <w:sz w:val="21"/>
          <w:szCs w:val="21"/>
          <w:lang w:val="en-GB"/>
        </w:rPr>
        <w:t>While medical schemes are vital in making private care more accessible, addressing these challenges requires collaboration between government entities, industry stakeholders, and consumers. The widening gap between consumer and health inflation rates highlights the need for comprehensive but sensible reforms to curb rising costs while ensuring equitable access for all citizens. Through collective efforts, South Africa can progress towards achieving an affordable and sustainable healthcare system for all its citizens.</w:t>
      </w:r>
    </w:p>
    <w:p w14:paraId="75A7AFF0" w14:textId="77777777" w:rsidR="00F04BFC" w:rsidRDefault="00F04BFC" w:rsidP="00F04BFC">
      <w:pPr>
        <w:ind w:left="142"/>
        <w:rPr>
          <w:rFonts w:ascii="Helvetica Neue" w:hAnsi="Helvetica Neue"/>
          <w:bCs/>
          <w:sz w:val="21"/>
          <w:szCs w:val="21"/>
          <w:lang w:val="en-GB"/>
        </w:rPr>
      </w:pPr>
    </w:p>
    <w:p w14:paraId="7D28FE8E" w14:textId="77777777" w:rsidR="00F04BFC" w:rsidRPr="005D5F7B" w:rsidRDefault="00F04BFC" w:rsidP="00F04BFC">
      <w:pPr>
        <w:ind w:left="142"/>
        <w:rPr>
          <w:rFonts w:ascii="Helvetica Neue" w:hAnsi="Helvetica Neue"/>
          <w:bCs/>
          <w:sz w:val="21"/>
          <w:szCs w:val="21"/>
          <w:lang w:val="en-GB"/>
        </w:rPr>
      </w:pPr>
    </w:p>
    <w:p w14:paraId="30AE8C9E" w14:textId="34C7A9E3" w:rsidR="00C54353" w:rsidRDefault="00FC0CDA" w:rsidP="006F4274">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2071D925" w:rsidR="009938F3" w:rsidRPr="00D7156B" w:rsidRDefault="006F4274"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AF22DB">
        <w:rPr>
          <w:rFonts w:ascii="Helvetica Neue" w:hAnsi="Helvetica Neue" w:cs="Calibri"/>
          <w:color w:val="808080" w:themeColor="background1" w:themeShade="80"/>
          <w:sz w:val="21"/>
          <w:szCs w:val="21"/>
          <w:lang w:val="en-GB"/>
        </w:rPr>
        <w:t>1650</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8"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9"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57566C39" w14:textId="77777777" w:rsidR="00C54353" w:rsidRPr="00177667" w:rsidRDefault="00C54353" w:rsidP="00C54353">
      <w:pPr>
        <w:ind w:left="142"/>
        <w:rPr>
          <w:rFonts w:ascii="Arial" w:hAnsi="Arial" w:cs="Arial"/>
          <w:b/>
          <w:bCs/>
          <w:sz w:val="22"/>
          <w:szCs w:val="22"/>
          <w:lang w:val="en-GB"/>
        </w:rPr>
      </w:pPr>
    </w:p>
    <w:p w14:paraId="1D136014" w14:textId="578F6581" w:rsidR="004C5ED6" w:rsidRDefault="006F4274" w:rsidP="004C5ED6">
      <w:pPr>
        <w:ind w:left="142"/>
        <w:rPr>
          <w:rFonts w:ascii="Arial" w:hAnsi="Arial" w:cs="Arial"/>
          <w:b/>
          <w:bCs/>
          <w:sz w:val="22"/>
          <w:szCs w:val="22"/>
        </w:rPr>
      </w:pPr>
      <w:r>
        <w:rPr>
          <w:rFonts w:ascii="Arial" w:hAnsi="Arial" w:cs="Arial"/>
          <w:b/>
          <w:bCs/>
          <w:sz w:val="22"/>
          <w:szCs w:val="22"/>
        </w:rPr>
        <w:t xml:space="preserve">ABOUT </w:t>
      </w:r>
      <w:r w:rsidR="004C5ED6" w:rsidRPr="004C5ED6">
        <w:rPr>
          <w:rFonts w:ascii="Arial" w:hAnsi="Arial" w:cs="Arial"/>
          <w:b/>
          <w:bCs/>
          <w:sz w:val="22"/>
          <w:szCs w:val="22"/>
        </w:rPr>
        <w:t>KEVIN ARON, PRINCIPAL OFFICER</w:t>
      </w:r>
      <w:r>
        <w:rPr>
          <w:rFonts w:ascii="Arial" w:hAnsi="Arial" w:cs="Arial"/>
          <w:b/>
          <w:bCs/>
          <w:sz w:val="22"/>
          <w:szCs w:val="22"/>
        </w:rPr>
        <w:t xml:space="preserve"> OF </w:t>
      </w:r>
      <w:r w:rsidR="004C5ED6" w:rsidRPr="004C5ED6">
        <w:rPr>
          <w:rFonts w:ascii="Arial" w:hAnsi="Arial" w:cs="Arial"/>
          <w:b/>
          <w:bCs/>
          <w:sz w:val="22"/>
          <w:szCs w:val="22"/>
        </w:rPr>
        <w:t>MEDSHIELD MEDICAL SCHEME</w:t>
      </w:r>
    </w:p>
    <w:p w14:paraId="1B59F407" w14:textId="6ADA8842" w:rsidR="004C5ED6" w:rsidRDefault="004C5ED6" w:rsidP="004C5ED6">
      <w:pPr>
        <w:ind w:left="142"/>
        <w:rPr>
          <w:rFonts w:ascii="Arial" w:hAnsi="Arial" w:cs="Arial"/>
          <w:b/>
          <w:bCs/>
          <w:sz w:val="22"/>
          <w:szCs w:val="22"/>
        </w:rPr>
      </w:pPr>
    </w:p>
    <w:p w14:paraId="427D224D" w14:textId="3AA334C9" w:rsidR="004C5ED6" w:rsidRPr="004C5ED6" w:rsidRDefault="004C5ED6" w:rsidP="004C5ED6">
      <w:pPr>
        <w:ind w:left="142"/>
        <w:rPr>
          <w:rFonts w:ascii="Helvetica Neue" w:hAnsi="Helvetica Neue"/>
          <w:bCs/>
          <w:iCs/>
          <w:sz w:val="21"/>
          <w:szCs w:val="21"/>
        </w:rPr>
      </w:pPr>
      <w:r w:rsidRPr="004C5ED6">
        <w:rPr>
          <w:rFonts w:ascii="Helvetica Neue" w:hAnsi="Helvetica Neue"/>
          <w:bCs/>
          <w:iCs/>
          <w:sz w:val="21"/>
          <w:szCs w:val="21"/>
        </w:rPr>
        <w:t xml:space="preserve">A qualified Chartered Accountant, Aron has a wealth of healthcare industry knowledge and is well-known in the industry. He started his career at South African Druggists, where he spent many years working in various financial and management roles within the Group, including stints at </w:t>
      </w:r>
      <w:proofErr w:type="spellStart"/>
      <w:r w:rsidRPr="004C5ED6">
        <w:rPr>
          <w:rFonts w:ascii="Helvetica Neue" w:hAnsi="Helvetica Neue"/>
          <w:bCs/>
          <w:iCs/>
          <w:sz w:val="21"/>
          <w:szCs w:val="21"/>
        </w:rPr>
        <w:t>Mediscor</w:t>
      </w:r>
      <w:proofErr w:type="spellEnd"/>
      <w:r w:rsidRPr="004C5ED6">
        <w:rPr>
          <w:rFonts w:ascii="Helvetica Neue" w:hAnsi="Helvetica Neue"/>
          <w:bCs/>
          <w:iCs/>
          <w:sz w:val="21"/>
          <w:szCs w:val="21"/>
        </w:rPr>
        <w:t xml:space="preserve"> and Medical Services Organisation, where he was Chief Operating Officer.</w:t>
      </w:r>
      <w:r w:rsidRPr="004C5ED6">
        <w:rPr>
          <w:rFonts w:ascii="Helvetica Neue" w:hAnsi="Helvetica Neue"/>
          <w:bCs/>
          <w:iCs/>
          <w:sz w:val="21"/>
          <w:szCs w:val="21"/>
        </w:rPr>
        <w:br/>
      </w:r>
      <w:r w:rsidRPr="004C5ED6">
        <w:rPr>
          <w:rFonts w:ascii="Helvetica Neue" w:hAnsi="Helvetica Neue"/>
          <w:bCs/>
          <w:iCs/>
          <w:sz w:val="21"/>
          <w:szCs w:val="21"/>
        </w:rPr>
        <w:br/>
        <w:t>After completing his MBA, Aron joined Medscheme in 2001, where he had a long and successful career, culminating in his appointment as Chief Executive Officer in 2014. Before joining Medshield, Aron consulted for various institutions in the healthcare industry</w:t>
      </w:r>
      <w:r w:rsidR="00DE6975">
        <w:rPr>
          <w:rFonts w:ascii="Helvetica Neue" w:hAnsi="Helvetica Neue"/>
          <w:bCs/>
          <w:iCs/>
          <w:sz w:val="21"/>
          <w:szCs w:val="21"/>
        </w:rPr>
        <w:t>,</w:t>
      </w:r>
      <w:r w:rsidRPr="004C5ED6">
        <w:rPr>
          <w:rFonts w:ascii="Helvetica Neue" w:hAnsi="Helvetica Neue"/>
          <w:bCs/>
          <w:iCs/>
          <w:sz w:val="21"/>
          <w:szCs w:val="21"/>
        </w:rPr>
        <w:t xml:space="preserve"> focusing on value-based healthcare delivery systems.</w:t>
      </w:r>
    </w:p>
    <w:p w14:paraId="05B7AA60" w14:textId="77777777" w:rsidR="004C5ED6" w:rsidRPr="004C5ED6" w:rsidRDefault="004C5ED6" w:rsidP="004C5ED6">
      <w:pPr>
        <w:ind w:left="142"/>
        <w:rPr>
          <w:rFonts w:ascii="Arial" w:hAnsi="Arial" w:cs="Arial"/>
          <w:b/>
          <w:bCs/>
          <w:sz w:val="22"/>
          <w:szCs w:val="22"/>
        </w:rPr>
      </w:pPr>
    </w:p>
    <w:p w14:paraId="31493E42" w14:textId="77777777" w:rsidR="006F459A" w:rsidRDefault="006F459A" w:rsidP="006F459A">
      <w:pPr>
        <w:ind w:left="142"/>
        <w:rPr>
          <w:rFonts w:ascii="Arial" w:hAnsi="Arial" w:cs="Arial"/>
          <w:b/>
          <w:bCs/>
          <w:sz w:val="22"/>
          <w:szCs w:val="22"/>
          <w:lang w:val="en-GB"/>
        </w:rPr>
      </w:pPr>
      <w:r w:rsidRPr="00177667">
        <w:rPr>
          <w:rFonts w:ascii="Arial" w:hAnsi="Arial" w:cs="Arial"/>
          <w:b/>
          <w:bCs/>
          <w:sz w:val="22"/>
          <w:szCs w:val="22"/>
          <w:lang w:val="en-GB"/>
        </w:rPr>
        <w:t>MORE INFORMATION ON THE 202</w:t>
      </w:r>
      <w:r>
        <w:rPr>
          <w:rFonts w:ascii="Arial" w:hAnsi="Arial" w:cs="Arial"/>
          <w:b/>
          <w:bCs/>
          <w:sz w:val="22"/>
          <w:szCs w:val="22"/>
          <w:lang w:val="en-GB"/>
        </w:rPr>
        <w:t>4</w:t>
      </w:r>
      <w:r w:rsidRPr="00177667">
        <w:rPr>
          <w:rFonts w:ascii="Arial" w:hAnsi="Arial" w:cs="Arial"/>
          <w:b/>
          <w:bCs/>
          <w:sz w:val="22"/>
          <w:szCs w:val="22"/>
          <w:lang w:val="en-GB"/>
        </w:rPr>
        <w:t xml:space="preserve"> MEDSHIELD BENEFIT OPTIONS AND CONTRIBUTIONS</w:t>
      </w:r>
    </w:p>
    <w:p w14:paraId="61E640AB" w14:textId="77777777" w:rsidR="006F459A" w:rsidRDefault="006F459A" w:rsidP="006F459A">
      <w:pPr>
        <w:ind w:left="142"/>
        <w:rPr>
          <w:rFonts w:ascii="Arial" w:hAnsi="Arial" w:cs="Arial"/>
          <w:b/>
          <w:bCs/>
          <w:sz w:val="22"/>
          <w:szCs w:val="22"/>
          <w:lang w:val="en-GB"/>
        </w:rPr>
      </w:pPr>
    </w:p>
    <w:p w14:paraId="594BC007" w14:textId="77777777" w:rsidR="006F459A" w:rsidRPr="000A08A4" w:rsidRDefault="006F459A" w:rsidP="006F459A">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4A12B990" w14:textId="77777777" w:rsidR="006F459A" w:rsidRPr="00177667" w:rsidRDefault="006F459A" w:rsidP="006F459A">
      <w:pPr>
        <w:ind w:left="142"/>
        <w:rPr>
          <w:rFonts w:ascii="Arial" w:hAnsi="Arial" w:cs="Arial"/>
          <w:sz w:val="22"/>
          <w:szCs w:val="22"/>
          <w:lang w:val="en-GB"/>
        </w:rPr>
      </w:pPr>
    </w:p>
    <w:p w14:paraId="4B65AE2A" w14:textId="77777777" w:rsidR="006F459A" w:rsidRPr="00AD41B7" w:rsidRDefault="006F459A" w:rsidP="006F459A">
      <w:pPr>
        <w:ind w:left="142"/>
        <w:rPr>
          <w:rFonts w:ascii="Arial" w:hAnsi="Arial" w:cs="Arial"/>
          <w:sz w:val="22"/>
          <w:szCs w:val="22"/>
          <w:lang w:val="en-GB"/>
        </w:rPr>
      </w:pPr>
      <w:r w:rsidRPr="00AD41B7">
        <w:rPr>
          <w:rFonts w:ascii="Arial" w:hAnsi="Arial" w:cs="Arial"/>
          <w:sz w:val="22"/>
          <w:szCs w:val="22"/>
        </w:rPr>
        <w:t xml:space="preserve">Please refer to the 2024 Product Page on the Medshield website at </w:t>
      </w:r>
      <w:hyperlink r:id="rId10" w:history="1">
        <w:r w:rsidRPr="00B57BAB">
          <w:rPr>
            <w:rStyle w:val="Hyperlink"/>
            <w:rFonts w:ascii="Arial" w:hAnsi="Arial" w:cs="Arial"/>
            <w:sz w:val="22"/>
            <w:szCs w:val="22"/>
            <w:lang w:val="en-GB"/>
          </w:rPr>
          <w:t>https://medshield.co.za/</w:t>
        </w:r>
      </w:hyperlink>
      <w:r w:rsidRPr="00B57BAB">
        <w:rPr>
          <w:rFonts w:ascii="Arial" w:hAnsi="Arial" w:cs="Arial"/>
          <w:sz w:val="22"/>
          <w:szCs w:val="22"/>
        </w:rPr>
        <w:t>.</w:t>
      </w:r>
      <w:r w:rsidRPr="00AD41B7">
        <w:rPr>
          <w:rFonts w:ascii="Arial" w:hAnsi="Arial" w:cs="Arial"/>
          <w:sz w:val="22"/>
          <w:szCs w:val="22"/>
        </w:rPr>
        <w:t xml:space="preserve"> You can review the benefit adjustments and value adds and download the 2024 benefit guides</w:t>
      </w:r>
    </w:p>
    <w:p w14:paraId="16D76DD5" w14:textId="77777777" w:rsidR="006F459A" w:rsidRPr="00AD41B7" w:rsidRDefault="006F459A" w:rsidP="006F459A">
      <w:pPr>
        <w:ind w:left="142"/>
        <w:rPr>
          <w:rFonts w:ascii="Arial" w:hAnsi="Arial" w:cs="Arial"/>
          <w:sz w:val="22"/>
          <w:szCs w:val="22"/>
          <w:lang w:val="en-GB"/>
        </w:rPr>
      </w:pPr>
    </w:p>
    <w:p w14:paraId="619D3F6C" w14:textId="77777777" w:rsidR="006F459A" w:rsidRPr="00AD41B7" w:rsidRDefault="006F459A" w:rsidP="006F459A">
      <w:pPr>
        <w:numPr>
          <w:ilvl w:val="0"/>
          <w:numId w:val="29"/>
        </w:numPr>
        <w:rPr>
          <w:rFonts w:ascii="Arial" w:hAnsi="Arial" w:cs="Arial"/>
          <w:sz w:val="22"/>
          <w:szCs w:val="22"/>
          <w:lang w:val="en-GB"/>
        </w:rPr>
      </w:pPr>
      <w:proofErr w:type="spellStart"/>
      <w:r w:rsidRPr="00AD41B7">
        <w:rPr>
          <w:rFonts w:ascii="Arial" w:hAnsi="Arial" w:cs="Arial"/>
          <w:b/>
          <w:bCs/>
          <w:sz w:val="22"/>
          <w:szCs w:val="22"/>
          <w:lang w:val="en-GB"/>
        </w:rPr>
        <w:t>PremiumPlus</w:t>
      </w:r>
      <w:proofErr w:type="spellEnd"/>
      <w:r w:rsidRPr="00AD41B7">
        <w:rPr>
          <w:rFonts w:ascii="Arial" w:hAnsi="Arial" w:cs="Arial"/>
          <w:sz w:val="22"/>
          <w:szCs w:val="22"/>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p w14:paraId="6896F12B" w14:textId="77777777" w:rsidR="006F459A" w:rsidRPr="00AD41B7" w:rsidRDefault="006F459A" w:rsidP="006F459A">
      <w:pPr>
        <w:numPr>
          <w:ilvl w:val="0"/>
          <w:numId w:val="29"/>
        </w:numPr>
        <w:rPr>
          <w:rFonts w:ascii="Arial" w:hAnsi="Arial" w:cs="Arial"/>
          <w:sz w:val="22"/>
          <w:szCs w:val="22"/>
          <w:lang w:val="en-GB"/>
        </w:rPr>
      </w:pPr>
      <w:proofErr w:type="spellStart"/>
      <w:r w:rsidRPr="00AD41B7">
        <w:rPr>
          <w:rFonts w:ascii="Arial" w:hAnsi="Arial" w:cs="Arial"/>
          <w:b/>
          <w:bCs/>
          <w:sz w:val="22"/>
          <w:szCs w:val="22"/>
          <w:lang w:val="en-GB"/>
        </w:rPr>
        <w:t>MediBonus</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 </w:t>
      </w:r>
    </w:p>
    <w:p w14:paraId="01AEDDC9" w14:textId="77777777" w:rsidR="006F459A" w:rsidRPr="00AD41B7" w:rsidRDefault="006F459A" w:rsidP="006F459A">
      <w:pPr>
        <w:numPr>
          <w:ilvl w:val="0"/>
          <w:numId w:val="29"/>
        </w:numPr>
        <w:rPr>
          <w:rFonts w:ascii="Arial" w:hAnsi="Arial" w:cs="Arial"/>
          <w:sz w:val="22"/>
          <w:szCs w:val="22"/>
          <w:lang w:val="en-GB"/>
        </w:rPr>
      </w:pPr>
      <w:proofErr w:type="spellStart"/>
      <w:r w:rsidRPr="00AD41B7">
        <w:rPr>
          <w:rFonts w:ascii="Arial" w:hAnsi="Arial" w:cs="Arial"/>
          <w:b/>
          <w:bCs/>
          <w:sz w:val="22"/>
          <w:szCs w:val="22"/>
          <w:lang w:val="en-GB"/>
        </w:rPr>
        <w:t>MediSaver</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is perfect for independent individuals and young professionals thinking about expanding their families. </w:t>
      </w:r>
      <w:proofErr w:type="spellStart"/>
      <w:r w:rsidRPr="00AD41B7">
        <w:rPr>
          <w:rFonts w:ascii="Arial" w:hAnsi="Arial" w:cs="Arial"/>
          <w:sz w:val="22"/>
          <w:szCs w:val="22"/>
          <w:lang w:val="en-GB"/>
        </w:rPr>
        <w:t>MediSaver</w:t>
      </w:r>
      <w:proofErr w:type="spellEnd"/>
      <w:r w:rsidRPr="00AD41B7">
        <w:rPr>
          <w:rFonts w:ascii="Arial" w:hAnsi="Arial" w:cs="Arial"/>
          <w:sz w:val="22"/>
          <w:szCs w:val="22"/>
          <w:lang w:val="en-GB"/>
        </w:rPr>
        <w:t xml:space="preserve"> offers unlimited hospital cover in the Compact Hospital Network, with the freedom to manage daily healthcare expenses through a generous Personal Savings Account.</w:t>
      </w:r>
    </w:p>
    <w:p w14:paraId="2C7F0F5C" w14:textId="77777777" w:rsidR="006F459A" w:rsidRPr="00AD41B7" w:rsidRDefault="006F459A" w:rsidP="006F459A">
      <w:pPr>
        <w:numPr>
          <w:ilvl w:val="0"/>
          <w:numId w:val="29"/>
        </w:numPr>
        <w:rPr>
          <w:rFonts w:ascii="Arial" w:hAnsi="Arial" w:cs="Arial"/>
          <w:sz w:val="22"/>
          <w:szCs w:val="22"/>
          <w:lang w:val="en-GB"/>
        </w:rPr>
      </w:pPr>
      <w:proofErr w:type="spellStart"/>
      <w:r w:rsidRPr="00AD41B7">
        <w:rPr>
          <w:rFonts w:ascii="Arial" w:hAnsi="Arial" w:cs="Arial"/>
          <w:b/>
          <w:bCs/>
          <w:sz w:val="22"/>
          <w:szCs w:val="22"/>
          <w:lang w:val="en-GB"/>
        </w:rPr>
        <w:t>MediPlus</w:t>
      </w:r>
      <w:proofErr w:type="spellEnd"/>
      <w:r w:rsidRPr="00AD41B7">
        <w:rPr>
          <w:rFonts w:ascii="Arial" w:hAnsi="Arial" w:cs="Arial"/>
          <w:sz w:val="22"/>
          <w:szCs w:val="22"/>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AD41B7">
        <w:rPr>
          <w:rFonts w:ascii="Arial" w:hAnsi="Arial" w:cs="Arial"/>
          <w:sz w:val="22"/>
          <w:szCs w:val="22"/>
          <w:lang w:val="en-GB"/>
        </w:rPr>
        <w:t>MediPlus</w:t>
      </w:r>
      <w:proofErr w:type="spellEnd"/>
      <w:r w:rsidRPr="00AD41B7">
        <w:rPr>
          <w:rFonts w:ascii="Arial" w:hAnsi="Arial" w:cs="Arial"/>
          <w:sz w:val="22"/>
          <w:szCs w:val="22"/>
          <w:lang w:val="en-GB"/>
        </w:rPr>
        <w:t xml:space="preserve"> Compact. </w:t>
      </w:r>
    </w:p>
    <w:p w14:paraId="217CFDC4" w14:textId="77777777" w:rsidR="006F459A" w:rsidRPr="00AD41B7" w:rsidRDefault="006F459A" w:rsidP="006F459A">
      <w:pPr>
        <w:numPr>
          <w:ilvl w:val="0"/>
          <w:numId w:val="29"/>
        </w:numPr>
        <w:rPr>
          <w:rFonts w:ascii="Arial" w:hAnsi="Arial" w:cs="Arial"/>
          <w:sz w:val="22"/>
          <w:szCs w:val="22"/>
          <w:lang w:val="en-GB"/>
        </w:rPr>
      </w:pPr>
      <w:proofErr w:type="spellStart"/>
      <w:r w:rsidRPr="00AD41B7">
        <w:rPr>
          <w:rFonts w:ascii="Arial" w:hAnsi="Arial" w:cs="Arial"/>
          <w:b/>
          <w:bCs/>
          <w:sz w:val="22"/>
          <w:szCs w:val="22"/>
          <w:lang w:val="en-GB"/>
        </w:rPr>
        <w:t>MediCore</w:t>
      </w:r>
      <w:proofErr w:type="spellEnd"/>
      <w:r w:rsidRPr="00AD41B7">
        <w:rPr>
          <w:rFonts w:ascii="Arial" w:hAnsi="Arial" w:cs="Arial"/>
          <w:sz w:val="22"/>
          <w:szCs w:val="22"/>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  </w:t>
      </w:r>
    </w:p>
    <w:p w14:paraId="531FFB4E" w14:textId="77777777" w:rsidR="006F459A" w:rsidRPr="00AD41B7" w:rsidRDefault="006F459A" w:rsidP="006F459A">
      <w:pPr>
        <w:numPr>
          <w:ilvl w:val="0"/>
          <w:numId w:val="29"/>
        </w:numPr>
        <w:rPr>
          <w:rFonts w:ascii="Arial" w:hAnsi="Arial" w:cs="Arial"/>
          <w:sz w:val="22"/>
          <w:szCs w:val="22"/>
          <w:lang w:val="en-GB"/>
        </w:rPr>
      </w:pPr>
      <w:proofErr w:type="spellStart"/>
      <w:r w:rsidRPr="00AD41B7">
        <w:rPr>
          <w:rFonts w:ascii="Arial" w:hAnsi="Arial" w:cs="Arial"/>
          <w:b/>
          <w:bCs/>
          <w:sz w:val="22"/>
          <w:szCs w:val="22"/>
          <w:lang w:val="en-GB"/>
        </w:rPr>
        <w:lastRenderedPageBreak/>
        <w:t>MediValue</w:t>
      </w:r>
      <w:proofErr w:type="spellEnd"/>
      <w:r w:rsidRPr="00AD41B7">
        <w:rPr>
          <w:rFonts w:ascii="Arial" w:hAnsi="Arial" w:cs="Arial"/>
          <w:b/>
          <w:bCs/>
          <w:sz w:val="22"/>
          <w:szCs w:val="22"/>
          <w:lang w:val="en-GB"/>
        </w:rPr>
        <w:t xml:space="preserve"> - Prime and Compact</w:t>
      </w:r>
      <w:r w:rsidRPr="00AD41B7">
        <w:rPr>
          <w:rFonts w:ascii="Arial" w:hAnsi="Arial" w:cs="Arial"/>
          <w:sz w:val="22"/>
          <w:szCs w:val="22"/>
          <w:lang w:val="en-GB"/>
        </w:rPr>
        <w:t xml:space="preserve"> - 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Prime and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 with care coordination and doctor referral mandated on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w:t>
      </w:r>
    </w:p>
    <w:p w14:paraId="0CF8B488" w14:textId="77777777" w:rsidR="006F459A" w:rsidRPr="00AD41B7" w:rsidRDefault="006F459A" w:rsidP="006F459A">
      <w:pPr>
        <w:numPr>
          <w:ilvl w:val="0"/>
          <w:numId w:val="29"/>
        </w:numPr>
        <w:rPr>
          <w:rFonts w:ascii="Arial" w:hAnsi="Arial" w:cs="Arial"/>
          <w:sz w:val="22"/>
          <w:szCs w:val="22"/>
          <w:lang w:val="en-GB"/>
        </w:rPr>
      </w:pPr>
      <w:proofErr w:type="spellStart"/>
      <w:r w:rsidRPr="00AD41B7">
        <w:rPr>
          <w:rFonts w:ascii="Arial" w:hAnsi="Arial" w:cs="Arial"/>
          <w:b/>
          <w:bCs/>
          <w:sz w:val="22"/>
          <w:szCs w:val="22"/>
          <w:lang w:val="en-GB"/>
        </w:rPr>
        <w:t>MediSwift</w:t>
      </w:r>
      <w:proofErr w:type="spellEnd"/>
      <w:r w:rsidRPr="00AD41B7">
        <w:rPr>
          <w:rFonts w:ascii="Arial" w:hAnsi="Arial" w:cs="Arial"/>
          <w:sz w:val="22"/>
          <w:szCs w:val="22"/>
          <w:lang w:val="en-GB"/>
        </w:rPr>
        <w:t xml:space="preserve"> is the ideal hospital plan for active, healthy individuals. Major medical emergency and In-Hospital treatment are covered up to R1 million per family in the Compact Hospital Network, with the added benefit of day-to-day treatment for non-professional sports injuries. As a hospital plan, </w:t>
      </w:r>
      <w:proofErr w:type="spellStart"/>
      <w:r w:rsidRPr="00AD41B7">
        <w:rPr>
          <w:rFonts w:ascii="Arial" w:hAnsi="Arial" w:cs="Arial"/>
          <w:sz w:val="22"/>
          <w:szCs w:val="22"/>
          <w:lang w:val="en-GB"/>
        </w:rPr>
        <w:t>MediSwift</w:t>
      </w:r>
      <w:proofErr w:type="spellEnd"/>
      <w:r w:rsidRPr="00AD41B7">
        <w:rPr>
          <w:rFonts w:ascii="Arial" w:hAnsi="Arial" w:cs="Arial"/>
          <w:sz w:val="22"/>
          <w:szCs w:val="22"/>
          <w:lang w:val="en-GB"/>
        </w:rPr>
        <w:t xml:space="preserve"> offers no Day-to-Day benefits, allowing members the freedom to self-manage their daily healthcare expenses.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6D3C0372"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E4EBD">
      <w:headerReference w:type="default" r:id="rId11"/>
      <w:headerReference w:type="first" r:id="rId12"/>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5B68" w14:textId="77777777" w:rsidR="009E092C" w:rsidRDefault="009E092C" w:rsidP="005140A3">
      <w:r>
        <w:separator/>
      </w:r>
    </w:p>
  </w:endnote>
  <w:endnote w:type="continuationSeparator" w:id="0">
    <w:p w14:paraId="5AF903CD" w14:textId="77777777" w:rsidR="009E092C" w:rsidRDefault="009E092C"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mbria"/>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Light">
    <w:altName w:val="Corbel"/>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44857" w14:textId="77777777" w:rsidR="009E092C" w:rsidRDefault="009E092C" w:rsidP="005140A3">
      <w:r>
        <w:separator/>
      </w:r>
    </w:p>
  </w:footnote>
  <w:footnote w:type="continuationSeparator" w:id="0">
    <w:p w14:paraId="1C283F1F" w14:textId="77777777" w:rsidR="009E092C" w:rsidRDefault="009E092C"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C836E0B"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6E1BCB80">
          <wp:simplePos x="0" y="0"/>
          <wp:positionH relativeFrom="margin">
            <wp:posOffset>-439420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6D073A">
      <w:rPr>
        <w:rFonts w:ascii="Helvetica Neue" w:hAnsi="Helvetica Neue"/>
        <w:b/>
        <w:bCs/>
        <w:noProof/>
        <w:color w:val="003172"/>
        <w:sz w:val="28"/>
        <w:szCs w:val="28"/>
        <w:lang w:eastAsia="en-ZA"/>
      </w:rPr>
      <w:t>OPINION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p w14:paraId="45F1BAE6" w14:textId="77777777" w:rsidR="00017FD2" w:rsidRDefault="00017F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5"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978F9"/>
    <w:multiLevelType w:val="hybridMultilevel"/>
    <w:tmpl w:val="AD424840"/>
    <w:lvl w:ilvl="0" w:tplc="0CD6E0E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8"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9"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45E0756F"/>
    <w:multiLevelType w:val="hybridMultilevel"/>
    <w:tmpl w:val="44E457FE"/>
    <w:lvl w:ilvl="0" w:tplc="8F64728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AF0B9E"/>
    <w:multiLevelType w:val="hybridMultilevel"/>
    <w:tmpl w:val="BF940A9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15:restartNumberingAfterBreak="0">
    <w:nsid w:val="578B3575"/>
    <w:multiLevelType w:val="hybridMultilevel"/>
    <w:tmpl w:val="F908374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3" w15:restartNumberingAfterBreak="0">
    <w:nsid w:val="6B2661B0"/>
    <w:multiLevelType w:val="hybridMultilevel"/>
    <w:tmpl w:val="190EA5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4467639"/>
    <w:multiLevelType w:val="hybridMultilevel"/>
    <w:tmpl w:val="770C9F5C"/>
    <w:lvl w:ilvl="0" w:tplc="5862099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2"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num w:numId="1" w16cid:durableId="1325472766">
    <w:abstractNumId w:val="7"/>
  </w:num>
  <w:num w:numId="2" w16cid:durableId="1929998688">
    <w:abstractNumId w:val="10"/>
  </w:num>
  <w:num w:numId="3" w16cid:durableId="1232231516">
    <w:abstractNumId w:val="27"/>
  </w:num>
  <w:num w:numId="4" w16cid:durableId="1033387954">
    <w:abstractNumId w:val="22"/>
  </w:num>
  <w:num w:numId="5" w16cid:durableId="1051735443">
    <w:abstractNumId w:val="4"/>
  </w:num>
  <w:num w:numId="6" w16cid:durableId="262080214">
    <w:abstractNumId w:val="26"/>
  </w:num>
  <w:num w:numId="7" w16cid:durableId="1624385064">
    <w:abstractNumId w:val="1"/>
  </w:num>
  <w:num w:numId="8" w16cid:durableId="1437947627">
    <w:abstractNumId w:val="16"/>
  </w:num>
  <w:num w:numId="9" w16cid:durableId="740098256">
    <w:abstractNumId w:val="9"/>
  </w:num>
  <w:num w:numId="10" w16cid:durableId="658312438">
    <w:abstractNumId w:val="32"/>
  </w:num>
  <w:num w:numId="11" w16cid:durableId="621687782">
    <w:abstractNumId w:val="0"/>
  </w:num>
  <w:num w:numId="12" w16cid:durableId="603004783">
    <w:abstractNumId w:val="8"/>
  </w:num>
  <w:num w:numId="13" w16cid:durableId="1226069561">
    <w:abstractNumId w:val="15"/>
  </w:num>
  <w:num w:numId="14" w16cid:durableId="348798524">
    <w:abstractNumId w:val="2"/>
  </w:num>
  <w:num w:numId="15" w16cid:durableId="97259410">
    <w:abstractNumId w:val="30"/>
  </w:num>
  <w:num w:numId="16" w16cid:durableId="334648574">
    <w:abstractNumId w:val="13"/>
  </w:num>
  <w:num w:numId="17" w16cid:durableId="1178499041">
    <w:abstractNumId w:val="11"/>
  </w:num>
  <w:num w:numId="18" w16cid:durableId="217329712">
    <w:abstractNumId w:val="25"/>
  </w:num>
  <w:num w:numId="19" w16cid:durableId="2061245967">
    <w:abstractNumId w:val="20"/>
  </w:num>
  <w:num w:numId="20" w16cid:durableId="259144806">
    <w:abstractNumId w:val="5"/>
  </w:num>
  <w:num w:numId="21" w16cid:durableId="1646860078">
    <w:abstractNumId w:val="21"/>
  </w:num>
  <w:num w:numId="22" w16cid:durableId="463693069">
    <w:abstractNumId w:val="17"/>
  </w:num>
  <w:num w:numId="23" w16cid:durableId="464662659">
    <w:abstractNumId w:val="31"/>
  </w:num>
  <w:num w:numId="24" w16cid:durableId="801843454">
    <w:abstractNumId w:val="29"/>
  </w:num>
  <w:num w:numId="25" w16cid:durableId="307168308">
    <w:abstractNumId w:val="3"/>
  </w:num>
  <w:num w:numId="26" w16cid:durableId="413094014">
    <w:abstractNumId w:val="24"/>
  </w:num>
  <w:num w:numId="27" w16cid:durableId="34936238">
    <w:abstractNumId w:val="23"/>
  </w:num>
  <w:num w:numId="28" w16cid:durableId="376930076">
    <w:abstractNumId w:val="14"/>
  </w:num>
  <w:num w:numId="29" w16cid:durableId="2094352063">
    <w:abstractNumId w:val="12"/>
  </w:num>
  <w:num w:numId="30" w16cid:durableId="759956338">
    <w:abstractNumId w:val="18"/>
  </w:num>
  <w:num w:numId="31" w16cid:durableId="232669137">
    <w:abstractNumId w:val="6"/>
  </w:num>
  <w:num w:numId="32" w16cid:durableId="174268866">
    <w:abstractNumId w:val="19"/>
  </w:num>
  <w:num w:numId="33" w16cid:durableId="9980709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17FD2"/>
    <w:rsid w:val="00020567"/>
    <w:rsid w:val="000218A9"/>
    <w:rsid w:val="00035257"/>
    <w:rsid w:val="00035E11"/>
    <w:rsid w:val="0005763A"/>
    <w:rsid w:val="0006260A"/>
    <w:rsid w:val="00077FCD"/>
    <w:rsid w:val="000906D3"/>
    <w:rsid w:val="000908C0"/>
    <w:rsid w:val="000956D1"/>
    <w:rsid w:val="000A0849"/>
    <w:rsid w:val="000A08A4"/>
    <w:rsid w:val="000A6C99"/>
    <w:rsid w:val="000B2E5A"/>
    <w:rsid w:val="000B7000"/>
    <w:rsid w:val="000C3FA4"/>
    <w:rsid w:val="000C483C"/>
    <w:rsid w:val="000C6E19"/>
    <w:rsid w:val="000D7A69"/>
    <w:rsid w:val="000E6612"/>
    <w:rsid w:val="001000B8"/>
    <w:rsid w:val="00102AE4"/>
    <w:rsid w:val="001108B4"/>
    <w:rsid w:val="00115664"/>
    <w:rsid w:val="00122884"/>
    <w:rsid w:val="00123019"/>
    <w:rsid w:val="00124A27"/>
    <w:rsid w:val="001348D1"/>
    <w:rsid w:val="001457C4"/>
    <w:rsid w:val="001543C0"/>
    <w:rsid w:val="00160CB0"/>
    <w:rsid w:val="00164931"/>
    <w:rsid w:val="001668D1"/>
    <w:rsid w:val="00166B1A"/>
    <w:rsid w:val="00170AB7"/>
    <w:rsid w:val="001749E2"/>
    <w:rsid w:val="001A136A"/>
    <w:rsid w:val="001A6077"/>
    <w:rsid w:val="001B2464"/>
    <w:rsid w:val="001C1B88"/>
    <w:rsid w:val="001C2CFB"/>
    <w:rsid w:val="001C75EA"/>
    <w:rsid w:val="001D42F4"/>
    <w:rsid w:val="001D462B"/>
    <w:rsid w:val="001D7CB8"/>
    <w:rsid w:val="001D7D04"/>
    <w:rsid w:val="001E1E17"/>
    <w:rsid w:val="001F1E6D"/>
    <w:rsid w:val="001F61FC"/>
    <w:rsid w:val="00203989"/>
    <w:rsid w:val="00204FDC"/>
    <w:rsid w:val="00205C73"/>
    <w:rsid w:val="00207475"/>
    <w:rsid w:val="002109AA"/>
    <w:rsid w:val="00220BEA"/>
    <w:rsid w:val="00226253"/>
    <w:rsid w:val="002347C7"/>
    <w:rsid w:val="0024509B"/>
    <w:rsid w:val="0024664F"/>
    <w:rsid w:val="002524C1"/>
    <w:rsid w:val="002548F2"/>
    <w:rsid w:val="00260C27"/>
    <w:rsid w:val="002656B8"/>
    <w:rsid w:val="00267075"/>
    <w:rsid w:val="00273C2F"/>
    <w:rsid w:val="0027400B"/>
    <w:rsid w:val="002772AA"/>
    <w:rsid w:val="00277E03"/>
    <w:rsid w:val="002817A6"/>
    <w:rsid w:val="00282AED"/>
    <w:rsid w:val="00283546"/>
    <w:rsid w:val="00287033"/>
    <w:rsid w:val="00287751"/>
    <w:rsid w:val="002907AB"/>
    <w:rsid w:val="0029085D"/>
    <w:rsid w:val="002A7A06"/>
    <w:rsid w:val="002B566D"/>
    <w:rsid w:val="002C344C"/>
    <w:rsid w:val="002C57A4"/>
    <w:rsid w:val="002C64ED"/>
    <w:rsid w:val="002C65AB"/>
    <w:rsid w:val="002E0F96"/>
    <w:rsid w:val="002E11EE"/>
    <w:rsid w:val="00306AD2"/>
    <w:rsid w:val="00307A3A"/>
    <w:rsid w:val="003231E9"/>
    <w:rsid w:val="003374D3"/>
    <w:rsid w:val="0034133D"/>
    <w:rsid w:val="0034200E"/>
    <w:rsid w:val="00344E35"/>
    <w:rsid w:val="0035132E"/>
    <w:rsid w:val="00354278"/>
    <w:rsid w:val="00365940"/>
    <w:rsid w:val="00373E20"/>
    <w:rsid w:val="00384D77"/>
    <w:rsid w:val="0038623B"/>
    <w:rsid w:val="00386910"/>
    <w:rsid w:val="003957E9"/>
    <w:rsid w:val="003A2632"/>
    <w:rsid w:val="003A3EB8"/>
    <w:rsid w:val="003A6D5C"/>
    <w:rsid w:val="003B038E"/>
    <w:rsid w:val="003B095B"/>
    <w:rsid w:val="003B23C7"/>
    <w:rsid w:val="003B52EB"/>
    <w:rsid w:val="003C0ABE"/>
    <w:rsid w:val="003C60D3"/>
    <w:rsid w:val="003C6662"/>
    <w:rsid w:val="003D3B14"/>
    <w:rsid w:val="003D5FE3"/>
    <w:rsid w:val="003E2F67"/>
    <w:rsid w:val="003E478D"/>
    <w:rsid w:val="00406B3D"/>
    <w:rsid w:val="00422ED5"/>
    <w:rsid w:val="0042568F"/>
    <w:rsid w:val="00430D1A"/>
    <w:rsid w:val="00432A5B"/>
    <w:rsid w:val="00432B84"/>
    <w:rsid w:val="00436ABB"/>
    <w:rsid w:val="0044053A"/>
    <w:rsid w:val="0045091C"/>
    <w:rsid w:val="00453B00"/>
    <w:rsid w:val="00453FA1"/>
    <w:rsid w:val="00460EB1"/>
    <w:rsid w:val="00473314"/>
    <w:rsid w:val="0047473B"/>
    <w:rsid w:val="00474866"/>
    <w:rsid w:val="00474EC4"/>
    <w:rsid w:val="00476687"/>
    <w:rsid w:val="004931AF"/>
    <w:rsid w:val="0049473C"/>
    <w:rsid w:val="004A0A6A"/>
    <w:rsid w:val="004B2589"/>
    <w:rsid w:val="004B407A"/>
    <w:rsid w:val="004C4802"/>
    <w:rsid w:val="004C4C86"/>
    <w:rsid w:val="004C5ED6"/>
    <w:rsid w:val="004E1D6A"/>
    <w:rsid w:val="004E698E"/>
    <w:rsid w:val="004F22E8"/>
    <w:rsid w:val="005004E2"/>
    <w:rsid w:val="00500576"/>
    <w:rsid w:val="0050283E"/>
    <w:rsid w:val="0050358E"/>
    <w:rsid w:val="00513FB9"/>
    <w:rsid w:val="005140A3"/>
    <w:rsid w:val="00516344"/>
    <w:rsid w:val="0051722D"/>
    <w:rsid w:val="005177CA"/>
    <w:rsid w:val="00522BE7"/>
    <w:rsid w:val="005312C2"/>
    <w:rsid w:val="005343FB"/>
    <w:rsid w:val="00550515"/>
    <w:rsid w:val="005567CE"/>
    <w:rsid w:val="0056049F"/>
    <w:rsid w:val="00566C30"/>
    <w:rsid w:val="00573905"/>
    <w:rsid w:val="0057451F"/>
    <w:rsid w:val="005A63F4"/>
    <w:rsid w:val="005D5F7B"/>
    <w:rsid w:val="005E27EB"/>
    <w:rsid w:val="005E4EBD"/>
    <w:rsid w:val="005F617D"/>
    <w:rsid w:val="005F79B2"/>
    <w:rsid w:val="005F7E7A"/>
    <w:rsid w:val="00606320"/>
    <w:rsid w:val="00606AA1"/>
    <w:rsid w:val="00613D57"/>
    <w:rsid w:val="00617E6F"/>
    <w:rsid w:val="00621BFB"/>
    <w:rsid w:val="00621D8F"/>
    <w:rsid w:val="00622273"/>
    <w:rsid w:val="00622D84"/>
    <w:rsid w:val="00624F31"/>
    <w:rsid w:val="0063483B"/>
    <w:rsid w:val="00644E48"/>
    <w:rsid w:val="00645B59"/>
    <w:rsid w:val="0064709B"/>
    <w:rsid w:val="006514A9"/>
    <w:rsid w:val="0065447E"/>
    <w:rsid w:val="00656DBD"/>
    <w:rsid w:val="00665977"/>
    <w:rsid w:val="00665BE3"/>
    <w:rsid w:val="0067380F"/>
    <w:rsid w:val="00677453"/>
    <w:rsid w:val="0068619D"/>
    <w:rsid w:val="006901D2"/>
    <w:rsid w:val="006A2BA8"/>
    <w:rsid w:val="006A5A96"/>
    <w:rsid w:val="006B6EEF"/>
    <w:rsid w:val="006B7C39"/>
    <w:rsid w:val="006C1730"/>
    <w:rsid w:val="006C1B05"/>
    <w:rsid w:val="006C37E9"/>
    <w:rsid w:val="006D073A"/>
    <w:rsid w:val="006D3D59"/>
    <w:rsid w:val="006F1A3F"/>
    <w:rsid w:val="006F242F"/>
    <w:rsid w:val="006F3992"/>
    <w:rsid w:val="006F4274"/>
    <w:rsid w:val="006F459A"/>
    <w:rsid w:val="006F571D"/>
    <w:rsid w:val="006F7A9E"/>
    <w:rsid w:val="00701A32"/>
    <w:rsid w:val="0070375D"/>
    <w:rsid w:val="00706D1D"/>
    <w:rsid w:val="00711D54"/>
    <w:rsid w:val="00715A3D"/>
    <w:rsid w:val="0072190F"/>
    <w:rsid w:val="007413C0"/>
    <w:rsid w:val="0074611C"/>
    <w:rsid w:val="007627F6"/>
    <w:rsid w:val="007719FA"/>
    <w:rsid w:val="007723F1"/>
    <w:rsid w:val="00772DF7"/>
    <w:rsid w:val="00787B97"/>
    <w:rsid w:val="007A3AD5"/>
    <w:rsid w:val="007E3940"/>
    <w:rsid w:val="007E3AF6"/>
    <w:rsid w:val="007E53BD"/>
    <w:rsid w:val="007E5DAB"/>
    <w:rsid w:val="007E767E"/>
    <w:rsid w:val="007E7EA9"/>
    <w:rsid w:val="007F6F3A"/>
    <w:rsid w:val="00804BD9"/>
    <w:rsid w:val="00814976"/>
    <w:rsid w:val="00815585"/>
    <w:rsid w:val="00825A2B"/>
    <w:rsid w:val="00832893"/>
    <w:rsid w:val="00833A7C"/>
    <w:rsid w:val="00843CBA"/>
    <w:rsid w:val="0084667F"/>
    <w:rsid w:val="008511B0"/>
    <w:rsid w:val="00853121"/>
    <w:rsid w:val="00853838"/>
    <w:rsid w:val="008560AD"/>
    <w:rsid w:val="00856BEC"/>
    <w:rsid w:val="008606C6"/>
    <w:rsid w:val="00863D53"/>
    <w:rsid w:val="00865504"/>
    <w:rsid w:val="00872ED7"/>
    <w:rsid w:val="008778ED"/>
    <w:rsid w:val="00883F75"/>
    <w:rsid w:val="0088511F"/>
    <w:rsid w:val="008907EC"/>
    <w:rsid w:val="00895154"/>
    <w:rsid w:val="0089703A"/>
    <w:rsid w:val="008A256F"/>
    <w:rsid w:val="008A78A4"/>
    <w:rsid w:val="008B4AA5"/>
    <w:rsid w:val="008B6534"/>
    <w:rsid w:val="008C1EA0"/>
    <w:rsid w:val="008D250F"/>
    <w:rsid w:val="008D4807"/>
    <w:rsid w:val="008D56E7"/>
    <w:rsid w:val="008E70EB"/>
    <w:rsid w:val="008F2445"/>
    <w:rsid w:val="008F4572"/>
    <w:rsid w:val="00907492"/>
    <w:rsid w:val="009170A6"/>
    <w:rsid w:val="009212A3"/>
    <w:rsid w:val="0093192A"/>
    <w:rsid w:val="00940904"/>
    <w:rsid w:val="00944D8E"/>
    <w:rsid w:val="00950B5D"/>
    <w:rsid w:val="00963A19"/>
    <w:rsid w:val="00974BA9"/>
    <w:rsid w:val="00981C67"/>
    <w:rsid w:val="009938F3"/>
    <w:rsid w:val="009A10B0"/>
    <w:rsid w:val="009A15BA"/>
    <w:rsid w:val="009A4758"/>
    <w:rsid w:val="009B03AF"/>
    <w:rsid w:val="009B0A89"/>
    <w:rsid w:val="009B0E63"/>
    <w:rsid w:val="009B6EAD"/>
    <w:rsid w:val="009C210C"/>
    <w:rsid w:val="009C3DF1"/>
    <w:rsid w:val="009E092C"/>
    <w:rsid w:val="009E2FA5"/>
    <w:rsid w:val="009F73D8"/>
    <w:rsid w:val="009F749F"/>
    <w:rsid w:val="00A1449E"/>
    <w:rsid w:val="00A250C8"/>
    <w:rsid w:val="00A36E34"/>
    <w:rsid w:val="00A37343"/>
    <w:rsid w:val="00A56AF9"/>
    <w:rsid w:val="00A57A8D"/>
    <w:rsid w:val="00A648A9"/>
    <w:rsid w:val="00A759D7"/>
    <w:rsid w:val="00A913C5"/>
    <w:rsid w:val="00A91C39"/>
    <w:rsid w:val="00A96326"/>
    <w:rsid w:val="00AA466D"/>
    <w:rsid w:val="00AA4BAB"/>
    <w:rsid w:val="00AB41F1"/>
    <w:rsid w:val="00AB68AD"/>
    <w:rsid w:val="00AB7D31"/>
    <w:rsid w:val="00AC0B5A"/>
    <w:rsid w:val="00AC5649"/>
    <w:rsid w:val="00AC768A"/>
    <w:rsid w:val="00AD5CF4"/>
    <w:rsid w:val="00AE0194"/>
    <w:rsid w:val="00AE4CD4"/>
    <w:rsid w:val="00AF041C"/>
    <w:rsid w:val="00AF22DB"/>
    <w:rsid w:val="00AF24B9"/>
    <w:rsid w:val="00B0254F"/>
    <w:rsid w:val="00B11323"/>
    <w:rsid w:val="00B134FA"/>
    <w:rsid w:val="00B13695"/>
    <w:rsid w:val="00B13EDA"/>
    <w:rsid w:val="00B229CE"/>
    <w:rsid w:val="00B32AA1"/>
    <w:rsid w:val="00B52521"/>
    <w:rsid w:val="00B54975"/>
    <w:rsid w:val="00B60BD8"/>
    <w:rsid w:val="00B6104F"/>
    <w:rsid w:val="00B71278"/>
    <w:rsid w:val="00B74419"/>
    <w:rsid w:val="00B75E21"/>
    <w:rsid w:val="00B824C6"/>
    <w:rsid w:val="00BA4799"/>
    <w:rsid w:val="00BB0C28"/>
    <w:rsid w:val="00BB0ED1"/>
    <w:rsid w:val="00BB18CA"/>
    <w:rsid w:val="00BB246C"/>
    <w:rsid w:val="00BE2684"/>
    <w:rsid w:val="00BE6FD7"/>
    <w:rsid w:val="00BF2AD5"/>
    <w:rsid w:val="00BF42DC"/>
    <w:rsid w:val="00C01B6E"/>
    <w:rsid w:val="00C06F08"/>
    <w:rsid w:val="00C13ABD"/>
    <w:rsid w:val="00C16E1F"/>
    <w:rsid w:val="00C17E78"/>
    <w:rsid w:val="00C24A57"/>
    <w:rsid w:val="00C25C82"/>
    <w:rsid w:val="00C43817"/>
    <w:rsid w:val="00C4758C"/>
    <w:rsid w:val="00C4770B"/>
    <w:rsid w:val="00C53BBC"/>
    <w:rsid w:val="00C54353"/>
    <w:rsid w:val="00C5442A"/>
    <w:rsid w:val="00C55B0C"/>
    <w:rsid w:val="00C66023"/>
    <w:rsid w:val="00C77DE3"/>
    <w:rsid w:val="00C82EC4"/>
    <w:rsid w:val="00CA0B39"/>
    <w:rsid w:val="00CA7E27"/>
    <w:rsid w:val="00CB3C8A"/>
    <w:rsid w:val="00CB4ACE"/>
    <w:rsid w:val="00CC2902"/>
    <w:rsid w:val="00CD2860"/>
    <w:rsid w:val="00CF147F"/>
    <w:rsid w:val="00CF1738"/>
    <w:rsid w:val="00CF3156"/>
    <w:rsid w:val="00CF4A09"/>
    <w:rsid w:val="00D04ADF"/>
    <w:rsid w:val="00D054B8"/>
    <w:rsid w:val="00D058F8"/>
    <w:rsid w:val="00D05A63"/>
    <w:rsid w:val="00D11882"/>
    <w:rsid w:val="00D22F12"/>
    <w:rsid w:val="00D259EE"/>
    <w:rsid w:val="00D32E55"/>
    <w:rsid w:val="00D35773"/>
    <w:rsid w:val="00D404FD"/>
    <w:rsid w:val="00D64EB7"/>
    <w:rsid w:val="00D70105"/>
    <w:rsid w:val="00D7156B"/>
    <w:rsid w:val="00D71B67"/>
    <w:rsid w:val="00D71F5C"/>
    <w:rsid w:val="00D72535"/>
    <w:rsid w:val="00D828D2"/>
    <w:rsid w:val="00D82ED9"/>
    <w:rsid w:val="00D91CE5"/>
    <w:rsid w:val="00D931CD"/>
    <w:rsid w:val="00D97E6D"/>
    <w:rsid w:val="00DA4ED4"/>
    <w:rsid w:val="00DA7B7A"/>
    <w:rsid w:val="00DB1AC4"/>
    <w:rsid w:val="00DB27AB"/>
    <w:rsid w:val="00DB4334"/>
    <w:rsid w:val="00DC5B42"/>
    <w:rsid w:val="00DD036E"/>
    <w:rsid w:val="00DD4536"/>
    <w:rsid w:val="00DE0D62"/>
    <w:rsid w:val="00DE10B4"/>
    <w:rsid w:val="00DE4FCD"/>
    <w:rsid w:val="00DE6975"/>
    <w:rsid w:val="00E007BF"/>
    <w:rsid w:val="00E0155A"/>
    <w:rsid w:val="00E14CA8"/>
    <w:rsid w:val="00E241E6"/>
    <w:rsid w:val="00E26112"/>
    <w:rsid w:val="00E270D8"/>
    <w:rsid w:val="00E30663"/>
    <w:rsid w:val="00E3111C"/>
    <w:rsid w:val="00E31647"/>
    <w:rsid w:val="00E376D8"/>
    <w:rsid w:val="00E57574"/>
    <w:rsid w:val="00E57D5B"/>
    <w:rsid w:val="00E74E07"/>
    <w:rsid w:val="00E7530D"/>
    <w:rsid w:val="00E80DD0"/>
    <w:rsid w:val="00E82F7A"/>
    <w:rsid w:val="00E832A0"/>
    <w:rsid w:val="00EA18C9"/>
    <w:rsid w:val="00EA2305"/>
    <w:rsid w:val="00EA7840"/>
    <w:rsid w:val="00EB30E7"/>
    <w:rsid w:val="00EC140B"/>
    <w:rsid w:val="00EC6CB6"/>
    <w:rsid w:val="00ED1A8F"/>
    <w:rsid w:val="00ED50CF"/>
    <w:rsid w:val="00ED6111"/>
    <w:rsid w:val="00F0164C"/>
    <w:rsid w:val="00F028CB"/>
    <w:rsid w:val="00F04BFC"/>
    <w:rsid w:val="00F05383"/>
    <w:rsid w:val="00F12F1A"/>
    <w:rsid w:val="00F17467"/>
    <w:rsid w:val="00F203C6"/>
    <w:rsid w:val="00F23293"/>
    <w:rsid w:val="00F24EBE"/>
    <w:rsid w:val="00F27600"/>
    <w:rsid w:val="00F30422"/>
    <w:rsid w:val="00F30A46"/>
    <w:rsid w:val="00F33D04"/>
    <w:rsid w:val="00F342A7"/>
    <w:rsid w:val="00F3625D"/>
    <w:rsid w:val="00F479FE"/>
    <w:rsid w:val="00F50C8D"/>
    <w:rsid w:val="00F511FC"/>
    <w:rsid w:val="00F551DA"/>
    <w:rsid w:val="00F63377"/>
    <w:rsid w:val="00F66FFD"/>
    <w:rsid w:val="00F67A9A"/>
    <w:rsid w:val="00F8049A"/>
    <w:rsid w:val="00F80CA4"/>
    <w:rsid w:val="00F80CBA"/>
    <w:rsid w:val="00F83713"/>
    <w:rsid w:val="00F8709E"/>
    <w:rsid w:val="00F91049"/>
    <w:rsid w:val="00FB1A91"/>
    <w:rsid w:val="00FB1F8E"/>
    <w:rsid w:val="00FB4CC6"/>
    <w:rsid w:val="00FC0CDA"/>
    <w:rsid w:val="00FC6146"/>
    <w:rsid w:val="00FC6C26"/>
    <w:rsid w:val="00FD3F9B"/>
    <w:rsid w:val="00FD500D"/>
    <w:rsid w:val="00FD70DA"/>
    <w:rsid w:val="00FE55B8"/>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3B0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dshield.co.za/" TargetMode="External"/><Relationship Id="rId4" Type="http://schemas.openxmlformats.org/officeDocument/2006/relationships/settings" Target="settings.xml"/><Relationship Id="rId9" Type="http://schemas.openxmlformats.org/officeDocument/2006/relationships/hyperlink" Target="mailto:lilanes@medshield.co.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5E5CC88-016E-AC4F-94F2-4E06399E7566}">
  <we:reference id="22ff87a5-132f-4d52-9e97-94d888e4dd91" version="3.6.0.0" store="EXCatalog" storeType="EXCatalog"/>
  <we:alternateReferences>
    <we:reference id="WA104380050" version="3.6.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1799</Words>
  <Characters>11226</Characters>
  <Application>Microsoft Office Word</Application>
  <DocSecurity>0</DocSecurity>
  <Lines>190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6</cp:revision>
  <dcterms:created xsi:type="dcterms:W3CDTF">2024-05-07T12:53:00Z</dcterms:created>
  <dcterms:modified xsi:type="dcterms:W3CDTF">2024-05-14T13:57:00Z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